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7B5">
      <w:pPr>
        <w:pStyle w:val="a6"/>
        <w:ind w:left="720" w:firstLine="0"/>
        <w:jc w:val="center"/>
        <w:rPr>
          <w:rFonts w:ascii="Times New Roman" w:hAnsi="Times New Roman" w:cs="Times New Roman"/>
          <w:b/>
          <w:szCs w:val="28"/>
        </w:rPr>
      </w:pPr>
    </w:p>
    <w:p w:rsidR="00000000" w:rsidRDefault="009A47B5">
      <w:pPr>
        <w:pStyle w:val="a6"/>
        <w:ind w:left="142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Уровень образования населения</w:t>
      </w:r>
    </w:p>
    <w:p w:rsidR="00000000" w:rsidRDefault="009A47B5">
      <w:pPr>
        <w:pStyle w:val="a6"/>
        <w:ind w:left="142" w:firstLine="0"/>
        <w:jc w:val="center"/>
        <w:rPr>
          <w:rFonts w:ascii="Times New Roman" w:hAnsi="Times New Roman" w:cs="Times New Roman"/>
          <w:b/>
          <w:szCs w:val="28"/>
        </w:rPr>
      </w:pPr>
    </w:p>
    <w:p w:rsidR="00000000" w:rsidRDefault="009A47B5">
      <w:pPr>
        <w:pStyle w:val="a6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000000" w:rsidRDefault="009A4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основное общее и выше имеет 93% населения Камчатки или 245 тыс</w:t>
      </w:r>
      <w:r>
        <w:rPr>
          <w:szCs w:val="28"/>
        </w:rPr>
        <w:t xml:space="preserve">. </w:t>
      </w:r>
      <w:r>
        <w:rPr>
          <w:sz w:val="28"/>
          <w:szCs w:val="28"/>
        </w:rPr>
        <w:t>человек</w:t>
      </w:r>
      <w:r>
        <w:rPr>
          <w:szCs w:val="28"/>
        </w:rPr>
        <w:t xml:space="preserve"> </w:t>
      </w:r>
      <w:r>
        <w:rPr>
          <w:sz w:val="28"/>
          <w:szCs w:val="28"/>
        </w:rPr>
        <w:t>в возрасте 15 лет и более, почти 70% из них  (или 172 тыс. человек) имеют профессиональное образование (высшее, включая послевузовское, сре</w:t>
      </w:r>
      <w:r>
        <w:rPr>
          <w:sz w:val="28"/>
          <w:szCs w:val="28"/>
        </w:rPr>
        <w:t xml:space="preserve">днее и начальное). </w:t>
      </w:r>
    </w:p>
    <w:p w:rsidR="00000000" w:rsidRDefault="009A47B5">
      <w:pPr>
        <w:pStyle w:val="2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2002-2010 годы  численность специалистов с высшим профессиональным образованием увеличилась на 14 тыс. человек (или на 28%). </w:t>
      </w:r>
    </w:p>
    <w:p w:rsidR="00000000" w:rsidRDefault="009A47B5">
      <w:pPr>
        <w:pStyle w:val="2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Впервые </w:t>
      </w:r>
      <w:r>
        <w:rPr>
          <w:b w:val="0"/>
          <w:sz w:val="28"/>
          <w:szCs w:val="28"/>
        </w:rPr>
        <w:t xml:space="preserve">при переписи были получены данные о численности специалистов </w:t>
      </w:r>
      <w:r>
        <w:rPr>
          <w:sz w:val="28"/>
          <w:szCs w:val="28"/>
        </w:rPr>
        <w:t xml:space="preserve">по ступеням высшего профессионального </w:t>
      </w:r>
      <w:r>
        <w:rPr>
          <w:sz w:val="28"/>
          <w:szCs w:val="28"/>
        </w:rPr>
        <w:t>образования</w:t>
      </w:r>
      <w:r>
        <w:rPr>
          <w:b w:val="0"/>
          <w:sz w:val="28"/>
          <w:szCs w:val="28"/>
        </w:rPr>
        <w:t>. Из общей численности лиц с высшим профессиональным образованием степень бакалавра имеют 2856 человек (4,6%), специалиста</w:t>
      </w:r>
      <w:r>
        <w:rPr>
          <w:rStyle w:val="aa"/>
          <w:b w:val="0"/>
          <w:sz w:val="28"/>
          <w:szCs w:val="28"/>
        </w:rPr>
        <w:footnoteReference w:id="2"/>
      </w:r>
      <w:r>
        <w:rPr>
          <w:b w:val="0"/>
          <w:sz w:val="28"/>
          <w:szCs w:val="28"/>
        </w:rPr>
        <w:t xml:space="preserve"> – 56,9 тыс. человек (92,6%) и магистра - 1401 человек (</w:t>
      </w:r>
      <w:r>
        <w:rPr>
          <w:b w:val="0"/>
          <w:sz w:val="28"/>
          <w:szCs w:val="28"/>
        </w:rPr>
        <w:t>2,3%).</w:t>
      </w:r>
    </w:p>
    <w:p w:rsidR="00000000" w:rsidRDefault="009A47B5">
      <w:pPr>
        <w:pStyle w:val="2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Среди специалистов с высшим профессиональным образованием 972 человека имеют послевузовское образование (закончивших аспирантуру, докторантуру, ординатуру - рост в 1,8 раза; в 2002 году – 548 человек). </w:t>
      </w:r>
    </w:p>
    <w:p w:rsidR="00000000" w:rsidRDefault="009A47B5">
      <w:pPr>
        <w:pStyle w:val="2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Камчатском крае насчитывается 448 кандидатов</w:t>
      </w:r>
      <w:r>
        <w:rPr>
          <w:b w:val="0"/>
          <w:sz w:val="28"/>
          <w:szCs w:val="28"/>
        </w:rPr>
        <w:t xml:space="preserve"> наук и 67 докторов наук – данные </w:t>
      </w:r>
      <w:r>
        <w:rPr>
          <w:sz w:val="28"/>
          <w:szCs w:val="28"/>
        </w:rPr>
        <w:t>по наличию ученой степени</w:t>
      </w:r>
      <w:r>
        <w:rPr>
          <w:b w:val="0"/>
          <w:sz w:val="28"/>
          <w:szCs w:val="28"/>
        </w:rPr>
        <w:t xml:space="preserve"> также были получены </w:t>
      </w:r>
      <w:r>
        <w:rPr>
          <w:sz w:val="28"/>
          <w:szCs w:val="28"/>
        </w:rPr>
        <w:t>впервые</w:t>
      </w:r>
      <w:r>
        <w:rPr>
          <w:b w:val="0"/>
          <w:sz w:val="28"/>
          <w:szCs w:val="28"/>
        </w:rPr>
        <w:t xml:space="preserve"> в перепись 2010 года. Среди кандидатов наук женщины составляют 232 человека (52%), среди докторов наук – 20 человек (30%). По возрасту среди кандидатов и докторов наук </w:t>
      </w:r>
      <w:r>
        <w:rPr>
          <w:b w:val="0"/>
          <w:sz w:val="28"/>
          <w:szCs w:val="28"/>
        </w:rPr>
        <w:t>преобладают лица в трудоспособном возрасте  (71% и 60%, соответственно).</w:t>
      </w:r>
    </w:p>
    <w:p w:rsidR="00000000" w:rsidRDefault="009A47B5">
      <w:pPr>
        <w:pStyle w:val="2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Увеличилась численность лиц с неполным высшим образованием (на 30%). </w:t>
      </w:r>
    </w:p>
    <w:p w:rsidR="00000000" w:rsidRDefault="009A47B5">
      <w:pPr>
        <w:pStyle w:val="2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Значительно снизилась в крае численность лиц, имеющих среднее (полное) общее (11 классов) образование (на 29 тыс.</w:t>
      </w:r>
      <w:r>
        <w:rPr>
          <w:b w:val="0"/>
          <w:sz w:val="28"/>
          <w:szCs w:val="28"/>
        </w:rPr>
        <w:t xml:space="preserve"> человек, или на 40%). В то же время уменьшилась численность лиц в возрасте 15 лет и более с основным общим (9 классов) и начальным образованием. </w:t>
      </w:r>
    </w:p>
    <w:p w:rsidR="00000000" w:rsidRDefault="009A47B5">
      <w:pPr>
        <w:pStyle w:val="2"/>
        <w:spacing w:after="12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Уровень образования населения в возрасте 15 лет и более</w:t>
      </w:r>
    </w:p>
    <w:p w:rsidR="00000000" w:rsidRDefault="009A47B5">
      <w:pPr>
        <w:pStyle w:val="2"/>
        <w:spacing w:after="120"/>
        <w:ind w:firstLine="709"/>
        <w:contextualSpacing/>
        <w:jc w:val="center"/>
        <w:rPr>
          <w:noProof/>
        </w:rPr>
      </w:pPr>
      <w:r>
        <w:rPr>
          <w:b w:val="0"/>
          <w:sz w:val="24"/>
        </w:rPr>
        <w:t>(тысяч человек)</w:t>
      </w:r>
      <w:r>
        <w:rPr>
          <w:noProof/>
        </w:rPr>
        <w:t xml:space="preserve"> </w:t>
      </w:r>
    </w:p>
    <w:p w:rsidR="00000000" w:rsidRDefault="009A47B5">
      <w:pPr>
        <w:pStyle w:val="2"/>
        <w:spacing w:after="120"/>
        <w:ind w:firstLine="709"/>
        <w:contextualSpacing/>
        <w:jc w:val="center"/>
        <w:rPr>
          <w:noProof/>
        </w:rPr>
      </w:pPr>
    </w:p>
    <w:p w:rsidR="00000000" w:rsidRDefault="009A47B5">
      <w:pPr>
        <w:pStyle w:val="2"/>
        <w:spacing w:after="120"/>
        <w:contextualSpacing/>
        <w:jc w:val="center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6858000" cy="282829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0000" w:rsidRDefault="009A47B5">
      <w:pPr>
        <w:pStyle w:val="2"/>
        <w:spacing w:after="120"/>
        <w:ind w:firstLine="709"/>
        <w:contextualSpacing/>
        <w:jc w:val="both"/>
        <w:rPr>
          <w:b w:val="0"/>
          <w:sz w:val="16"/>
          <w:szCs w:val="16"/>
        </w:rPr>
      </w:pPr>
    </w:p>
    <w:p w:rsidR="00000000" w:rsidRDefault="009A47B5">
      <w:pPr>
        <w:pBdr>
          <w:top w:val="single" w:sz="4" w:space="1" w:color="auto"/>
        </w:pBdr>
        <w:rPr>
          <w:lang w:val="en-US"/>
        </w:rPr>
      </w:pPr>
    </w:p>
    <w:p w:rsidR="00000000" w:rsidRDefault="009A47B5">
      <w:pPr>
        <w:pStyle w:val="a3"/>
        <w:spacing w:before="0" w:beforeAutospacing="0" w:after="0" w:afterAutospacing="0"/>
        <w:jc w:val="right"/>
      </w:pPr>
      <w:r>
        <w:t>Терр</w:t>
      </w:r>
      <w:r>
        <w:t>иториальный орган Федеральной службы</w:t>
      </w:r>
      <w:r>
        <w:br/>
        <w:t>государственной статистики по Камчатскому краю</w:t>
      </w:r>
    </w:p>
    <w:p w:rsidR="009A47B5" w:rsidRDefault="009A47B5"/>
    <w:sectPr w:rsidR="009A47B5">
      <w:pgSz w:w="11906" w:h="16838"/>
      <w:pgMar w:top="284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B5" w:rsidRDefault="009A47B5">
      <w:r>
        <w:separator/>
      </w:r>
    </w:p>
  </w:endnote>
  <w:endnote w:type="continuationSeparator" w:id="1">
    <w:p w:rsidR="009A47B5" w:rsidRDefault="009A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B5" w:rsidRDefault="009A47B5">
      <w:r>
        <w:separator/>
      </w:r>
    </w:p>
  </w:footnote>
  <w:footnote w:type="continuationSeparator" w:id="1">
    <w:p w:rsidR="009A47B5" w:rsidRDefault="009A47B5">
      <w:r>
        <w:continuationSeparator/>
      </w:r>
    </w:p>
  </w:footnote>
  <w:footnote w:id="2">
    <w:p w:rsidR="00000000" w:rsidRDefault="009A47B5">
      <w:pPr>
        <w:pStyle w:val="a4"/>
        <w:ind w:hanging="80"/>
        <w:rPr>
          <w:i/>
          <w:sz w:val="22"/>
          <w:szCs w:val="22"/>
        </w:rPr>
      </w:pPr>
      <w:r>
        <w:rPr>
          <w:rStyle w:val="aa"/>
          <w:i/>
          <w:sz w:val="22"/>
          <w:szCs w:val="22"/>
        </w:rPr>
        <w:footnoteRef/>
      </w:r>
      <w:r>
        <w:rPr>
          <w:i/>
          <w:sz w:val="22"/>
          <w:szCs w:val="22"/>
        </w:rPr>
        <w:t xml:space="preserve"> При переписи  лица, получившие высшее образование в советский период, учитывались как специалисты.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38B"/>
    <w:rsid w:val="0077438B"/>
    <w:rsid w:val="009A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pPr>
      <w:ind w:firstLine="900"/>
      <w:jc w:val="both"/>
    </w:pPr>
    <w:rPr>
      <w:rFonts w:ascii="Arial" w:hAnsi="Arial" w:cs="Arial"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Pr>
      <w:rFonts w:ascii="Arial" w:eastAsia="Times New Roman" w:hAnsi="Arial" w:cs="Arial" w:hint="default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Pr>
      <w:b/>
      <w:bCs/>
      <w:sz w:val="22"/>
    </w:rPr>
  </w:style>
  <w:style w:type="character" w:customStyle="1" w:styleId="20">
    <w:name w:val="Основной текст 2 Знак"/>
    <w:basedOn w:val="a0"/>
    <w:link w:val="2"/>
    <w:semiHidden/>
    <w:locked/>
    <w:rPr>
      <w:rFonts w:ascii="Times New Roman" w:eastAsia="Times New Roman" w:hAnsi="Times New Roman" w:cs="Times New Roman" w:hint="default"/>
      <w:b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eastAsia="Times New Roman" w:hAnsi="Tahoma" w:cs="Tahoma" w:hint="default"/>
      <w:sz w:val="16"/>
      <w:szCs w:val="16"/>
      <w:lang w:eastAsia="ru-RU"/>
    </w:rPr>
  </w:style>
  <w:style w:type="character" w:styleId="aa">
    <w:name w:val="footnote reference"/>
    <w:basedOn w:val="a0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4786723807892738"/>
          <c:y val="9.8513414989793047E-2"/>
          <c:w val="0.7100992726650488"/>
          <c:h val="0.8236329833770779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2002</c:v>
                </c:pt>
              </c:strCache>
            </c:strRef>
          </c:tx>
          <c:spPr>
            <a:solidFill>
              <a:srgbClr val="FF3399"/>
            </a:solidFill>
            <a:scene3d>
              <a:camera prst="orthographicFront"/>
              <a:lightRig rig="threePt" dir="t"/>
            </a:scene3d>
            <a:sp3d>
              <a:bevelT w="120650" h="88900"/>
            </a:sp3d>
          </c:spPr>
          <c:dLbls>
            <c:dLbl>
              <c:idx val="0"/>
              <c:layout>
                <c:manualLayout>
                  <c:x val="-7.0406414024318738E-5"/>
                  <c:y val="5.7110663486992453E-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0695529362724964E-4"/>
                  <c:y val="-4.1400943440720423E-4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1088298143961221E-4"/>
                  <c:y val="4.978060415535954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8148475326102208E-3"/>
                  <c:y val="-2.0769073117942087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8136207208477242E-4"/>
                  <c:y val="-4.5228901425794325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2.5506323626082405E-3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6.9444338945149342E-3"/>
                  <c:y val="-9.296747188345520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послевузовское и 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 общего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48.5</c:v>
                </c:pt>
                <c:pt idx="1">
                  <c:v>8.8000000000000007</c:v>
                </c:pt>
                <c:pt idx="2">
                  <c:v>97.7</c:v>
                </c:pt>
                <c:pt idx="4">
                  <c:v>72.400000000000006</c:v>
                </c:pt>
                <c:pt idx="5">
                  <c:v>71.2</c:v>
                </c:pt>
                <c:pt idx="6">
                  <c:v>10.3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101600" h="88900"/>
            </a:sp3d>
          </c:spPr>
          <c:dLbls>
            <c:dLbl>
              <c:idx val="0"/>
              <c:layout>
                <c:manualLayout>
                  <c:x val="0"/>
                  <c:y val="9.356659657767572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9.6468556350767249E-3"/>
                  <c:y val="-4.558372653784136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111111111111181E-2"/>
                  <c:y val="4.5583726537841403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9.7123418732328447E-3"/>
                  <c:y val="-5.3588846816892332E-4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8.3524788879677653E-3"/>
                  <c:y val="-9.0786837880995751E-4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8.4567704117845764E-4"/>
                  <c:y val="-1.344707445052426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3.2852992907654284E-4"/>
                  <c:y val="-2.178094373227638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послевузовское и высшее профессиональное</c:v>
                </c:pt>
                <c:pt idx="1">
                  <c:v>неполное высшее</c:v>
                </c:pt>
                <c:pt idx="2">
                  <c:v>среднее профессиональное</c:v>
                </c:pt>
                <c:pt idx="3">
                  <c:v>начальное профессиональное</c:v>
                </c:pt>
                <c:pt idx="4">
                  <c:v>среднее (полное) общее</c:v>
                </c:pt>
                <c:pt idx="5">
                  <c:v>основное общее</c:v>
                </c:pt>
                <c:pt idx="6">
                  <c:v>начальное общее</c:v>
                </c:pt>
                <c:pt idx="7">
                  <c:v>не имеют начального общего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62.2</c:v>
                </c:pt>
                <c:pt idx="1">
                  <c:v>11.4</c:v>
                </c:pt>
                <c:pt idx="2">
                  <c:v>90.1</c:v>
                </c:pt>
                <c:pt idx="3">
                  <c:v>12.2</c:v>
                </c:pt>
                <c:pt idx="4">
                  <c:v>43.2</c:v>
                </c:pt>
                <c:pt idx="5">
                  <c:v>25.9</c:v>
                </c:pt>
                <c:pt idx="6">
                  <c:v>6.6</c:v>
                </c:pt>
                <c:pt idx="7">
                  <c:v>0.6000000000000002</c:v>
                </c:pt>
              </c:numCache>
            </c:numRef>
          </c:val>
        </c:ser>
        <c:gapWidth val="38"/>
        <c:axId val="137310592"/>
        <c:axId val="137312128"/>
      </c:barChart>
      <c:catAx>
        <c:axId val="1373105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 b="1" i="0" baseline="0">
                <a:latin typeface="Arial" pitchFamily="34" charset="0"/>
              </a:defRPr>
            </a:pPr>
            <a:endParaRPr lang="ru-RU"/>
          </a:p>
        </c:txPr>
        <c:crossAx val="137312128"/>
        <c:crosses val="autoZero"/>
        <c:auto val="1"/>
        <c:lblAlgn val="ctr"/>
        <c:lblOffset val="100"/>
      </c:catAx>
      <c:valAx>
        <c:axId val="137312128"/>
        <c:scaling>
          <c:orientation val="minMax"/>
          <c:max val="100"/>
          <c:min val="0"/>
        </c:scaling>
        <c:delete val="1"/>
        <c:axPos val="b"/>
        <c:majorGridlines/>
        <c:numFmt formatCode="0.0" sourceLinked="1"/>
        <c:tickLblPos val="nextTo"/>
        <c:crossAx val="137310592"/>
        <c:crosses val="autoZero"/>
        <c:crossBetween val="between"/>
        <c:majorUnit val="20"/>
        <c:minorUnit val="20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4702926829268321"/>
          <c:y val="5.9463013698630163E-2"/>
          <c:w val="0.15256112342941588"/>
          <c:h val="0.2709066666666668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stat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dcterms:created xsi:type="dcterms:W3CDTF">2018-12-24T04:00:00Z</dcterms:created>
  <dcterms:modified xsi:type="dcterms:W3CDTF">2018-12-24T04:00:00Z</dcterms:modified>
</cp:coreProperties>
</file>